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和创环保助力于污水厂升级改造项目——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新疆克拉玛依市乌尔禾区污水厂升级改造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项目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:2018年11月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新疆克拉玛依市乌尔禾区污水厂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设备：2台HCCL-D-3000次氯酸钠发生器消毒设备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65947796514743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94779651474324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乌尔禾区污水处理厂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位于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新疆克拉玛依市，污水处理厂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升级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改造工程设计规模为6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>000方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/日，计划实施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升级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改造工程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使出水水质达到一级A排放标准要求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克拉玛依市乌尔禾区污水处理厂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改造完成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后将极大地改善周围水体环境，对治理水污染，保护当地流域水质和生态平衡具有十分重要的作用。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污水厂消毒项目是一项关乎民生健康的重要课题，值得国家和人民关注。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47267023640401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726702364040186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55599837040889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59983704088909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Theme="minorEastAsia" w:hAnsiTheme="minorEastAsia" w:eastAsiaTheme="minorEastAsia" w:cstheme="minorEastAsia"/>
          <w:kern w:val="1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和创环保为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新疆克拉玛依市乌尔禾区污水厂升级改造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项目提供了两台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HCCL-D-3000大功率次氯酸钠发生器。次氯酸钠发生器是一种通过电解食盐现场制备</w:t>
      </w:r>
      <w:r>
        <w:rPr>
          <w:rFonts w:hint="eastAsia" w:asciiTheme="minorEastAsia" w:hAnsiTheme="minorEastAsia" w:eastAsiaTheme="minorEastAsia" w:cstheme="minorEastAsia"/>
          <w:kern w:val="16"/>
          <w:sz w:val="24"/>
          <w:szCs w:val="24"/>
        </w:rPr>
        <w:t>产生6000-8000ppm的次氯酸钠溶液后储存于次氯酸钠储存罐</w:t>
      </w:r>
      <w:r>
        <w:rPr>
          <w:rFonts w:hint="eastAsia" w:asciiTheme="minorEastAsia" w:hAnsiTheme="minorEastAsia" w:eastAsiaTheme="minorEastAsia" w:cstheme="minorEastAsia"/>
          <w:kern w:val="16"/>
          <w:sz w:val="24"/>
          <w:szCs w:val="24"/>
          <w:lang w:eastAsia="zh-CN"/>
        </w:rPr>
        <w:t>，然后被</w:t>
      </w:r>
      <w:r>
        <w:rPr>
          <w:rFonts w:hint="eastAsia" w:asciiTheme="minorEastAsia" w:hAnsiTheme="minorEastAsia" w:eastAsiaTheme="minorEastAsia" w:cstheme="minorEastAsia"/>
          <w:kern w:val="16"/>
          <w:sz w:val="24"/>
          <w:szCs w:val="24"/>
        </w:rPr>
        <w:t>输送至消毒水体</w:t>
      </w:r>
      <w:r>
        <w:rPr>
          <w:rFonts w:hint="eastAsia" w:asciiTheme="minorEastAsia" w:hAnsiTheme="minorEastAsia" w:eastAsiaTheme="minorEastAsia" w:cstheme="minorEastAsia"/>
          <w:kern w:val="16"/>
          <w:sz w:val="24"/>
          <w:szCs w:val="24"/>
          <w:lang w:eastAsia="zh-CN"/>
        </w:rPr>
        <w:t>的发生装置。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整体设备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是一种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分体模块化设计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安置在同一间房内,而电解产生的氢气用管道接出室外,以免室内氢气浓度太高。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设备结构为复极式，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复合式电极连接方式，整个结构连接件极少，减少了连接件上的产热量，大大降低生产次氯酸钠的盐耗和电耗，对于减少副产品具有积极作用。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26670</wp:posOffset>
                </wp:positionV>
                <wp:extent cx="2305685" cy="17233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37355" y="1007745"/>
                          <a:ext cx="2305685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电解槽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是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透明设计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电解槽机壳采用透明的丙烯酸，可实时观察电解过程及电极表面，便于判断电极状态，确定酸洗周期，保证电极安全。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设备是智能化设备，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全自动运行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完善的自动控制系统，确保生产能在无人操作下完成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5pt;margin-top:2.1pt;height:135.7pt;width:181.55pt;z-index:251658240;mso-width-relative:page;mso-height-relative:page;" filled="f" stroked="f" coordsize="21600,21600" o:gfxdata="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zflXHbAAAACQEAAA8AAAAAAAAAAQAgAAAAIgAAAGRycy9kb3ducmV2LnhtbFBL&#10;AQIUABQAAAAIAIdO4kCwkzGO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</w:rPr>
                        <w:t>电解槽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lang w:eastAsia="zh-CN"/>
                        </w:rPr>
                        <w:t>是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</w:rPr>
                        <w:t>透明设计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</w:rPr>
                        <w:t>电解槽机壳采用透明的丙烯酸，可实时观察电解过程及电极表面，便于判断电极状态，确定酸洗周期，保证电极安全。</w:t>
                      </w:r>
                    </w:p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lang w:eastAsia="zh-CN"/>
                        </w:rPr>
                        <w:t>设备是智能化设备，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</w:rPr>
                        <w:t>全自动运行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</w:rPr>
                        <w:t>完善的自动控制系统，确保生产能在无人操作下完成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052445" cy="1729105"/>
            <wp:effectExtent l="0" t="0" r="14605" b="4445"/>
            <wp:docPr id="6" name="图片 6" descr="14958354030697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495835403069746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73040" cy="1977390"/>
            <wp:effectExtent l="0" t="0" r="3810" b="3810"/>
            <wp:docPr id="9" name="图片 9" descr="14958354030697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95835403069746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1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16"/>
          <w:sz w:val="24"/>
          <w:szCs w:val="24"/>
          <w:lang w:val="en-US" w:eastAsia="zh-CN"/>
        </w:rPr>
        <w:t>和创环保研发生产的大功率次氯酸钠发生器</w:t>
      </w:r>
      <w:r>
        <w:rPr>
          <w:rFonts w:hint="eastAsia" w:asciiTheme="minorEastAsia" w:hAnsiTheme="minorEastAsia" w:cstheme="minorEastAsia"/>
          <w:kern w:val="16"/>
          <w:sz w:val="24"/>
          <w:szCs w:val="24"/>
          <w:lang w:val="en-US" w:eastAsia="zh-CN"/>
        </w:rPr>
        <w:t>消毒</w:t>
      </w:r>
      <w:r>
        <w:rPr>
          <w:rFonts w:hint="eastAsia" w:ascii="宋体" w:hAnsi="宋体"/>
          <w:kern w:val="16"/>
          <w:sz w:val="24"/>
          <w:szCs w:val="24"/>
          <w:lang w:val="en-US" w:eastAsia="zh-CN"/>
        </w:rPr>
        <w:t>设备基本不会有副产物产生，原料简单易购买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16"/>
          <w:sz w:val="24"/>
          <w:szCs w:val="24"/>
          <w:lang w:val="en-US" w:eastAsia="zh-CN"/>
        </w:rPr>
        <w:t>非常适用污水厂消毒改造项目，有利于改善周围水污染问题，为社会民生创造一个良好的水体环境。</w:t>
      </w:r>
      <w:bookmarkStart w:id="0" w:name="_GoBack"/>
      <w:bookmarkEnd w:id="0"/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420" w:firstLineChars="200"/>
        <w:rPr>
          <w:rFonts w:hint="eastAsia" w:ascii="宋体" w:hAnsi="宋体"/>
          <w:kern w:val="16"/>
          <w:szCs w:val="21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Microsoft YaHei" w:hAnsi="Microsoft YaHei" w:eastAsia="宋体" w:cs="Microsoft YaHei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639B"/>
    <w:rsid w:val="166858FD"/>
    <w:rsid w:val="1D47556D"/>
    <w:rsid w:val="23D6639B"/>
    <w:rsid w:val="27E6737C"/>
    <w:rsid w:val="43B2588F"/>
    <w:rsid w:val="44BC5FB9"/>
    <w:rsid w:val="57016D21"/>
    <w:rsid w:val="68851C21"/>
    <w:rsid w:val="7B7B02C1"/>
    <w:rsid w:val="7E6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2018-12-04T03:09:00Z</dcterms:created>
  <dc:creator>Administrator</dc:creator>
  <cp:lastModifiedBy>和创环保～蔡婧婧</cp:lastModifiedBy>
  <dcterms:modified xsi:type="dcterms:W3CDTF">2018-12-22T01:20:01Z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